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1AC" w:rsidRPr="00F461AC" w:rsidRDefault="00F461AC" w:rsidP="00F461AC">
      <w:pPr>
        <w:pBdr>
          <w:top w:val="single" w:sz="6" w:space="0" w:color="BACBDB"/>
          <w:left w:val="single" w:sz="6" w:space="0" w:color="BACBDB"/>
          <w:bottom w:val="single" w:sz="6" w:space="0" w:color="BACBDB"/>
          <w:right w:val="single" w:sz="6" w:space="0" w:color="BACBDB"/>
        </w:pBdr>
        <w:shd w:val="clear" w:color="auto" w:fill="D6ECFF"/>
        <w:spacing w:after="0" w:line="240" w:lineRule="auto"/>
        <w:jc w:val="center"/>
        <w:outlineLvl w:val="0"/>
        <w:rPr>
          <w:rFonts w:ascii="Times New Roman" w:eastAsia="Times New Roman" w:hAnsi="Times New Roman" w:cs="Times New Roman"/>
          <w:b/>
          <w:bCs/>
          <w:color w:val="125589"/>
          <w:kern w:val="36"/>
          <w:sz w:val="46"/>
          <w:szCs w:val="46"/>
          <w:lang w:eastAsia="it-IT"/>
        </w:rPr>
      </w:pPr>
      <w:r w:rsidRPr="00F461AC">
        <w:rPr>
          <w:rFonts w:ascii="Times New Roman" w:eastAsia="Times New Roman" w:hAnsi="Times New Roman" w:cs="Times New Roman"/>
          <w:b/>
          <w:bCs/>
          <w:color w:val="125589"/>
          <w:kern w:val="36"/>
          <w:sz w:val="46"/>
          <w:szCs w:val="46"/>
          <w:lang w:eastAsia="it-IT"/>
        </w:rPr>
        <w:t>Pene sostitutive (delle pene detentive di breve durata) e misure alternative alla detenzione</w:t>
      </w:r>
    </w:p>
    <w:p w:rsidR="00F461AC" w:rsidRPr="00F461AC" w:rsidRDefault="00F461AC" w:rsidP="00F461AC">
      <w:pPr>
        <w:shd w:val="clear" w:color="auto" w:fill="D6ECFF"/>
        <w:spacing w:after="0" w:line="240" w:lineRule="auto"/>
        <w:jc w:val="center"/>
        <w:rPr>
          <w:rFonts w:ascii="Times New Roman" w:eastAsia="Times New Roman" w:hAnsi="Times New Roman" w:cs="Times New Roman"/>
          <w:color w:val="auto"/>
          <w:lang w:eastAsia="it-IT"/>
        </w:rPr>
      </w:pPr>
      <w:r w:rsidRPr="00F461AC">
        <w:rPr>
          <w:rFonts w:ascii="Times New Roman" w:eastAsia="Times New Roman" w:hAnsi="Times New Roman" w:cs="Times New Roman"/>
          <w:color w:val="auto"/>
          <w:lang w:eastAsia="it-IT"/>
        </w:rPr>
        <w:t xml:space="preserve">A cura dell'Avv. Cristina </w:t>
      </w:r>
      <w:proofErr w:type="spellStart"/>
      <w:r w:rsidRPr="00F461AC">
        <w:rPr>
          <w:rFonts w:ascii="Times New Roman" w:eastAsia="Times New Roman" w:hAnsi="Times New Roman" w:cs="Times New Roman"/>
          <w:color w:val="auto"/>
          <w:lang w:eastAsia="it-IT"/>
        </w:rPr>
        <w:t>Matricardi</w:t>
      </w:r>
      <w:proofErr w:type="spellEnd"/>
    </w:p>
    <w:p w:rsidR="00E773DF" w:rsidRDefault="00E773DF"/>
    <w:p w:rsidR="00F461AC" w:rsidRDefault="00F461AC">
      <w:pPr>
        <w:rPr>
          <w:rFonts w:ascii="Tahoma" w:hAnsi="Tahoma" w:cs="Tahoma"/>
          <w:sz w:val="20"/>
          <w:szCs w:val="20"/>
        </w:rPr>
      </w:pPr>
      <w:r>
        <w:rPr>
          <w:rStyle w:val="Enfasigrassetto"/>
          <w:rFonts w:ascii="Tahoma" w:hAnsi="Tahoma" w:cs="Tahoma"/>
          <w:sz w:val="20"/>
          <w:szCs w:val="20"/>
        </w:rPr>
        <w:t>Pene sostitutive (delle pene detentive di breve durata):</w:t>
      </w:r>
      <w:r>
        <w:rPr>
          <w:rFonts w:ascii="Tahoma" w:hAnsi="Tahoma" w:cs="Tahoma"/>
          <w:sz w:val="20"/>
          <w:szCs w:val="20"/>
        </w:rPr>
        <w:br/>
        <w:t xml:space="preserve">Sono state introdotte dall’art. 53 della Legge 689/81 e sono: la </w:t>
      </w:r>
      <w:r>
        <w:rPr>
          <w:rStyle w:val="Enfasigrassetto"/>
          <w:rFonts w:ascii="Tahoma" w:hAnsi="Tahoma" w:cs="Tahoma"/>
          <w:sz w:val="20"/>
          <w:szCs w:val="20"/>
        </w:rPr>
        <w:t>semidetenzione</w:t>
      </w:r>
      <w:r>
        <w:rPr>
          <w:rFonts w:ascii="Tahoma" w:hAnsi="Tahoma" w:cs="Tahoma"/>
          <w:sz w:val="20"/>
          <w:szCs w:val="20"/>
        </w:rPr>
        <w:t xml:space="preserve">, la </w:t>
      </w:r>
      <w:r>
        <w:rPr>
          <w:rStyle w:val="Enfasigrassetto"/>
          <w:rFonts w:ascii="Tahoma" w:hAnsi="Tahoma" w:cs="Tahoma"/>
          <w:sz w:val="20"/>
          <w:szCs w:val="20"/>
        </w:rPr>
        <w:t xml:space="preserve">libertà controllata </w:t>
      </w:r>
      <w:r>
        <w:rPr>
          <w:rFonts w:ascii="Tahoma" w:hAnsi="Tahoma" w:cs="Tahoma"/>
          <w:sz w:val="20"/>
          <w:szCs w:val="20"/>
        </w:rPr>
        <w:t xml:space="preserve">e la </w:t>
      </w:r>
      <w:r>
        <w:rPr>
          <w:rStyle w:val="Enfasigrassetto"/>
          <w:rFonts w:ascii="Tahoma" w:hAnsi="Tahoma" w:cs="Tahoma"/>
          <w:sz w:val="20"/>
          <w:szCs w:val="20"/>
        </w:rPr>
        <w:t>pena pecuniaria</w:t>
      </w:r>
      <w:r>
        <w:rPr>
          <w:rFonts w:ascii="Tahoma" w:hAnsi="Tahoma" w:cs="Tahoma"/>
          <w:sz w:val="20"/>
          <w:szCs w:val="20"/>
        </w:rPr>
        <w:t>.</w:t>
      </w:r>
      <w:r>
        <w:rPr>
          <w:rFonts w:ascii="Tahoma" w:hAnsi="Tahoma" w:cs="Tahoma"/>
          <w:sz w:val="20"/>
          <w:szCs w:val="20"/>
        </w:rPr>
        <w:br/>
      </w:r>
      <w:r w:rsidRPr="00F461AC">
        <w:rPr>
          <w:rFonts w:ascii="Tahoma" w:hAnsi="Tahoma" w:cs="Tahoma"/>
          <w:sz w:val="20"/>
          <w:szCs w:val="20"/>
          <w:highlight w:val="yellow"/>
        </w:rPr>
        <w:t>Art. 55 L. 689/81</w:t>
      </w:r>
      <w:r>
        <w:rPr>
          <w:rFonts w:ascii="Tahoma" w:hAnsi="Tahoma" w:cs="Tahoma"/>
          <w:sz w:val="20"/>
          <w:szCs w:val="20"/>
        </w:rPr>
        <w:t xml:space="preserve"> “</w:t>
      </w:r>
      <w:r>
        <w:rPr>
          <w:rStyle w:val="Enfasicorsivo"/>
          <w:rFonts w:ascii="Tahoma" w:hAnsi="Tahoma" w:cs="Tahoma"/>
          <w:sz w:val="20"/>
          <w:szCs w:val="20"/>
        </w:rPr>
        <w:t>Semidetenzione”</w:t>
      </w:r>
      <w:r>
        <w:rPr>
          <w:rFonts w:ascii="Tahoma" w:hAnsi="Tahoma" w:cs="Tahoma"/>
          <w:sz w:val="20"/>
          <w:szCs w:val="20"/>
        </w:rPr>
        <w:t xml:space="preserve">: è la misura sostitutiva della pena detentiva fino a un anno e comporta che il condannato debba trascorrere almeno dieci ore al giorno negli istituti penitenziari, il divieto di detenere a qualsiasi titolo arma da fuoco, la sospensione della patente di guida ecc. </w:t>
      </w:r>
      <w:r>
        <w:rPr>
          <w:rFonts w:ascii="Tahoma" w:hAnsi="Tahoma" w:cs="Tahoma"/>
          <w:sz w:val="20"/>
          <w:szCs w:val="20"/>
        </w:rPr>
        <w:br/>
      </w:r>
      <w:r w:rsidRPr="00F461AC">
        <w:rPr>
          <w:rFonts w:ascii="Tahoma" w:hAnsi="Tahoma" w:cs="Tahoma"/>
          <w:sz w:val="20"/>
          <w:szCs w:val="20"/>
          <w:highlight w:val="yellow"/>
        </w:rPr>
        <w:t>Art. 56 L. 689/81</w:t>
      </w:r>
      <w:r>
        <w:rPr>
          <w:rFonts w:ascii="Tahoma" w:hAnsi="Tahoma" w:cs="Tahoma"/>
          <w:sz w:val="20"/>
          <w:szCs w:val="20"/>
        </w:rPr>
        <w:t xml:space="preserve"> “</w:t>
      </w:r>
      <w:r>
        <w:rPr>
          <w:rStyle w:val="Enfasicorsivo"/>
          <w:rFonts w:ascii="Tahoma" w:hAnsi="Tahoma" w:cs="Tahoma"/>
          <w:sz w:val="20"/>
          <w:szCs w:val="20"/>
        </w:rPr>
        <w:t>Libertà controllata”</w:t>
      </w:r>
      <w:r>
        <w:rPr>
          <w:rFonts w:ascii="Tahoma" w:hAnsi="Tahoma" w:cs="Tahoma"/>
          <w:sz w:val="20"/>
          <w:szCs w:val="20"/>
        </w:rPr>
        <w:t>: è la misura sostitutiva per le pene detentive fino a sei mesi e comporta il divieto di allontanarsi dal comune di residenza (salvo i casi di studio e/o lavoro), obbligo di presentarsi almeno una volta al giorno negli uffici di pubblica sicurezza ecc.</w:t>
      </w:r>
      <w:r>
        <w:rPr>
          <w:rFonts w:ascii="Tahoma" w:hAnsi="Tahoma" w:cs="Tahoma"/>
          <w:sz w:val="20"/>
          <w:szCs w:val="20"/>
        </w:rPr>
        <w:br/>
        <w:t>La “</w:t>
      </w:r>
      <w:r>
        <w:rPr>
          <w:rStyle w:val="Enfasicorsivo"/>
          <w:rFonts w:ascii="Tahoma" w:hAnsi="Tahoma" w:cs="Tahoma"/>
          <w:sz w:val="20"/>
          <w:szCs w:val="20"/>
        </w:rPr>
        <w:t>pena pecuniaria”</w:t>
      </w:r>
      <w:r>
        <w:rPr>
          <w:rFonts w:ascii="Tahoma" w:hAnsi="Tahoma" w:cs="Tahoma"/>
          <w:sz w:val="20"/>
          <w:szCs w:val="20"/>
        </w:rPr>
        <w:t xml:space="preserve"> è invece la sanzione sostitutiva delle pene detentive fino a tre mesi. </w:t>
      </w:r>
      <w:r>
        <w:rPr>
          <w:rFonts w:ascii="Tahoma" w:hAnsi="Tahoma" w:cs="Tahoma"/>
          <w:sz w:val="20"/>
          <w:szCs w:val="20"/>
        </w:rPr>
        <w:br/>
        <w:t xml:space="preserve">Per la sostituzione occorre inoltre che il colpevole si trovi in una particolare condizione soggettiva (art. 59 L. 689/81) e che ci sia il fondato motivo per ritenere che lo stesso si astenga per il futuro dal commettere altri reati. </w:t>
      </w:r>
      <w:r>
        <w:rPr>
          <w:rFonts w:ascii="Tahoma" w:hAnsi="Tahoma" w:cs="Tahoma"/>
          <w:sz w:val="20"/>
          <w:szCs w:val="20"/>
        </w:rPr>
        <w:br/>
        <w:t xml:space="preserve">I presupposti sono: la pena in concreto irrogata dal Giudice e, sulla base dell’articolo 60 (L. 689/81) la sostituzione non è ammessa per alcuni tipi di reati. L’articolo 59 ha stabilito che non è ammessa per i rei che siano stati condannati a 2 anni di reclusione e abbiano commesso il reato nei cinque anni dalla precedente condanna e per quanti siano stati condannati due volte per reati della stessa indole. </w:t>
      </w:r>
      <w:r>
        <w:rPr>
          <w:rFonts w:ascii="Tahoma" w:hAnsi="Tahoma" w:cs="Tahoma"/>
          <w:sz w:val="20"/>
          <w:szCs w:val="20"/>
        </w:rPr>
        <w:br/>
      </w:r>
      <w:r>
        <w:rPr>
          <w:rFonts w:ascii="Tahoma" w:hAnsi="Tahoma" w:cs="Tahoma"/>
          <w:sz w:val="20"/>
          <w:szCs w:val="20"/>
        </w:rPr>
        <w:br/>
      </w:r>
      <w:r>
        <w:rPr>
          <w:rFonts w:ascii="Tahoma" w:hAnsi="Tahoma" w:cs="Tahoma"/>
          <w:sz w:val="20"/>
          <w:szCs w:val="20"/>
        </w:rPr>
        <w:br/>
      </w:r>
      <w:r>
        <w:rPr>
          <w:rStyle w:val="Enfasigrassetto"/>
          <w:rFonts w:ascii="Tahoma" w:hAnsi="Tahoma" w:cs="Tahoma"/>
          <w:sz w:val="20"/>
          <w:szCs w:val="20"/>
        </w:rPr>
        <w:t>Misure alternative alla detenzione</w:t>
      </w:r>
      <w:r>
        <w:rPr>
          <w:rFonts w:ascii="Tahoma" w:hAnsi="Tahoma" w:cs="Tahoma"/>
          <w:sz w:val="20"/>
          <w:szCs w:val="20"/>
        </w:rPr>
        <w:br/>
        <w:t xml:space="preserve">Sono state introdotte dalla </w:t>
      </w:r>
      <w:r w:rsidRPr="00F461AC">
        <w:rPr>
          <w:rFonts w:ascii="Tahoma" w:hAnsi="Tahoma" w:cs="Tahoma"/>
          <w:sz w:val="20"/>
          <w:szCs w:val="20"/>
          <w:highlight w:val="yellow"/>
        </w:rPr>
        <w:t>Legge 354/1975</w:t>
      </w:r>
      <w:r>
        <w:rPr>
          <w:rFonts w:ascii="Tahoma" w:hAnsi="Tahoma" w:cs="Tahoma"/>
          <w:sz w:val="20"/>
          <w:szCs w:val="20"/>
        </w:rPr>
        <w:t xml:space="preserve"> di riforma dell’Ordinamento Penitenziario. Con l’introduzione di tali misure, l’Ordinamento ha inteso valorizzare la funzione rieducativa della pena (art. 27 Cost.) agevolando le cd. misure alternative che si prefiggono lo scopo della </w:t>
      </w:r>
      <w:proofErr w:type="spellStart"/>
      <w:r>
        <w:rPr>
          <w:rFonts w:ascii="Tahoma" w:hAnsi="Tahoma" w:cs="Tahoma"/>
          <w:sz w:val="20"/>
          <w:szCs w:val="20"/>
        </w:rPr>
        <w:t>risocializzazione</w:t>
      </w:r>
      <w:proofErr w:type="spellEnd"/>
      <w:r>
        <w:rPr>
          <w:rFonts w:ascii="Tahoma" w:hAnsi="Tahoma" w:cs="Tahoma"/>
          <w:sz w:val="20"/>
          <w:szCs w:val="20"/>
        </w:rPr>
        <w:t xml:space="preserve"> del reo in società.</w:t>
      </w:r>
      <w:r>
        <w:rPr>
          <w:rFonts w:ascii="Tahoma" w:hAnsi="Tahoma" w:cs="Tahoma"/>
          <w:sz w:val="20"/>
          <w:szCs w:val="20"/>
        </w:rPr>
        <w:br/>
        <w:t>Le misure alternative sono:</w:t>
      </w:r>
      <w:r>
        <w:rPr>
          <w:rFonts w:ascii="Tahoma" w:hAnsi="Tahoma" w:cs="Tahoma"/>
          <w:sz w:val="20"/>
          <w:szCs w:val="20"/>
        </w:rPr>
        <w:br/>
        <w:t xml:space="preserve">- </w:t>
      </w:r>
      <w:r>
        <w:rPr>
          <w:rStyle w:val="Enfasigrassetto"/>
          <w:rFonts w:ascii="Tahoma" w:hAnsi="Tahoma" w:cs="Tahoma"/>
          <w:sz w:val="20"/>
          <w:szCs w:val="20"/>
        </w:rPr>
        <w:t>affidamento in prova al servizio sociale</w:t>
      </w:r>
      <w:r>
        <w:rPr>
          <w:rFonts w:ascii="Tahoma" w:hAnsi="Tahoma" w:cs="Tahoma"/>
          <w:sz w:val="20"/>
          <w:szCs w:val="20"/>
        </w:rPr>
        <w:t xml:space="preserve"> (</w:t>
      </w:r>
      <w:r w:rsidRPr="00F461AC">
        <w:rPr>
          <w:rFonts w:ascii="Tahoma" w:hAnsi="Tahoma" w:cs="Tahoma"/>
          <w:sz w:val="20"/>
          <w:szCs w:val="20"/>
          <w:highlight w:val="yellow"/>
        </w:rPr>
        <w:t>art. 47</w:t>
      </w:r>
      <w:r>
        <w:rPr>
          <w:rFonts w:ascii="Tahoma" w:hAnsi="Tahoma" w:cs="Tahoma"/>
          <w:sz w:val="20"/>
          <w:szCs w:val="20"/>
        </w:rPr>
        <w:t xml:space="preserve">: il condannato a pena detentiva non superiore a tre anni può essere affidato in prova al Servizio sociale fuori dall’Istituto per un periodo uguale a quello della pena da scontare. Una particolare forma di tale misura è l’affidamento in prova per tossicodipendenti o </w:t>
      </w:r>
      <w:proofErr w:type="spellStart"/>
      <w:r>
        <w:rPr>
          <w:rFonts w:ascii="Tahoma" w:hAnsi="Tahoma" w:cs="Tahoma"/>
          <w:sz w:val="20"/>
          <w:szCs w:val="20"/>
        </w:rPr>
        <w:t>alcooldipendenti</w:t>
      </w:r>
      <w:proofErr w:type="spellEnd"/>
      <w:r>
        <w:rPr>
          <w:rFonts w:ascii="Tahoma" w:hAnsi="Tahoma" w:cs="Tahoma"/>
          <w:sz w:val="20"/>
          <w:szCs w:val="20"/>
        </w:rPr>
        <w:t xml:space="preserve">. Se quindi, la pena detentiva viene inflitta nel limite di quattro anni e deve essere eseguita nei confronti di soggetti dipendenti da sostanze alcoliche e/o stupefacenti, che abbiano in corso un programma di recupero o che hanno intenzione di prendervi parte, gli interessati possono chiedere, </w:t>
      </w:r>
      <w:r>
        <w:rPr>
          <w:rStyle w:val="Enfasigrassetto"/>
          <w:rFonts w:ascii="Tahoma" w:hAnsi="Tahoma" w:cs="Tahoma"/>
          <w:sz w:val="20"/>
          <w:szCs w:val="20"/>
        </w:rPr>
        <w:t>in qualsiasi momento</w:t>
      </w:r>
      <w:r>
        <w:rPr>
          <w:rFonts w:ascii="Tahoma" w:hAnsi="Tahoma" w:cs="Tahoma"/>
          <w:sz w:val="20"/>
          <w:szCs w:val="20"/>
        </w:rPr>
        <w:t>, l’applicazione di tale misura). La misura è revocata se il comportamento del soggetto appare incompatibile con la prosecuzione della prova);</w:t>
      </w:r>
      <w:r>
        <w:rPr>
          <w:rFonts w:ascii="Tahoma" w:hAnsi="Tahoma" w:cs="Tahoma"/>
          <w:sz w:val="20"/>
          <w:szCs w:val="20"/>
        </w:rPr>
        <w:br/>
        <w:t xml:space="preserve">- </w:t>
      </w:r>
      <w:r>
        <w:rPr>
          <w:rStyle w:val="Enfasigrassetto"/>
          <w:rFonts w:ascii="Tahoma" w:hAnsi="Tahoma" w:cs="Tahoma"/>
          <w:sz w:val="20"/>
          <w:szCs w:val="20"/>
        </w:rPr>
        <w:t xml:space="preserve">semilibertà </w:t>
      </w:r>
      <w:r>
        <w:rPr>
          <w:rFonts w:ascii="Tahoma" w:hAnsi="Tahoma" w:cs="Tahoma"/>
          <w:sz w:val="20"/>
          <w:szCs w:val="20"/>
        </w:rPr>
        <w:t>(</w:t>
      </w:r>
      <w:r w:rsidRPr="00F461AC">
        <w:rPr>
          <w:rFonts w:ascii="Tahoma" w:hAnsi="Tahoma" w:cs="Tahoma"/>
          <w:sz w:val="20"/>
          <w:szCs w:val="20"/>
          <w:highlight w:val="yellow"/>
        </w:rPr>
        <w:t>art. 48</w:t>
      </w:r>
      <w:r>
        <w:rPr>
          <w:rFonts w:ascii="Tahoma" w:hAnsi="Tahoma" w:cs="Tahoma"/>
          <w:sz w:val="20"/>
          <w:szCs w:val="20"/>
        </w:rPr>
        <w:t>: il detenuto condannato a pena detentiva non superiore a 6 mesi o che abbia scontato almeno la metà della pena, può trascorre parte del giorno fuori dal carcere e partecipare alle attività lavorative e istruttive. E’ prevista la revoca della misura se il soggetto si dimostra non idoneo alla misura o se il soggetto si assenta dall’Istituto senza un giustificato motivo per non più di 12 ore;</w:t>
      </w:r>
      <w:r>
        <w:rPr>
          <w:rFonts w:ascii="Tahoma" w:hAnsi="Tahoma" w:cs="Tahoma"/>
          <w:sz w:val="20"/>
          <w:szCs w:val="20"/>
        </w:rPr>
        <w:br/>
        <w:t xml:space="preserve">- </w:t>
      </w:r>
      <w:r>
        <w:rPr>
          <w:rStyle w:val="Enfasigrassetto"/>
          <w:rFonts w:ascii="Tahoma" w:hAnsi="Tahoma" w:cs="Tahoma"/>
          <w:sz w:val="20"/>
          <w:szCs w:val="20"/>
        </w:rPr>
        <w:t xml:space="preserve">liberazione anticipata </w:t>
      </w:r>
      <w:r>
        <w:rPr>
          <w:rFonts w:ascii="Tahoma" w:hAnsi="Tahoma" w:cs="Tahoma"/>
          <w:sz w:val="20"/>
          <w:szCs w:val="20"/>
        </w:rPr>
        <w:t>(art. 54: il detenuto che prova di aver partecipato attivamente nell’opera di rieducazione, può ottenere la riduzione di gg. 45 per ogni semestre di pena detentiva effettivamente scontata);</w:t>
      </w:r>
      <w:r>
        <w:rPr>
          <w:rFonts w:ascii="Tahoma" w:hAnsi="Tahoma" w:cs="Tahoma"/>
          <w:sz w:val="20"/>
          <w:szCs w:val="20"/>
        </w:rPr>
        <w:br/>
        <w:t xml:space="preserve">- </w:t>
      </w:r>
      <w:r>
        <w:rPr>
          <w:rStyle w:val="Enfasigrassetto"/>
          <w:rFonts w:ascii="Tahoma" w:hAnsi="Tahoma" w:cs="Tahoma"/>
          <w:sz w:val="20"/>
          <w:szCs w:val="20"/>
        </w:rPr>
        <w:t xml:space="preserve">detenzione domiciliare </w:t>
      </w:r>
      <w:r>
        <w:rPr>
          <w:rFonts w:ascii="Tahoma" w:hAnsi="Tahoma" w:cs="Tahoma"/>
          <w:sz w:val="20"/>
          <w:szCs w:val="20"/>
        </w:rPr>
        <w:t>(</w:t>
      </w:r>
      <w:r w:rsidRPr="00F461AC">
        <w:rPr>
          <w:rFonts w:ascii="Tahoma" w:hAnsi="Tahoma" w:cs="Tahoma"/>
          <w:sz w:val="20"/>
          <w:szCs w:val="20"/>
          <w:highlight w:val="yellow"/>
        </w:rPr>
        <w:t xml:space="preserve">art. 47 </w:t>
      </w:r>
      <w:proofErr w:type="spellStart"/>
      <w:r w:rsidRPr="00F461AC">
        <w:rPr>
          <w:rStyle w:val="Enfasicorsivo"/>
          <w:rFonts w:ascii="Tahoma" w:hAnsi="Tahoma" w:cs="Tahoma"/>
          <w:sz w:val="20"/>
          <w:szCs w:val="20"/>
          <w:highlight w:val="yellow"/>
        </w:rPr>
        <w:t>ter</w:t>
      </w:r>
      <w:proofErr w:type="spellEnd"/>
      <w:r>
        <w:rPr>
          <w:rFonts w:ascii="Tahoma" w:hAnsi="Tahoma" w:cs="Tahoma"/>
          <w:sz w:val="20"/>
          <w:szCs w:val="20"/>
        </w:rPr>
        <w:t xml:space="preserve">: il detenuto condannato alla pena della reclusione non superiore a 4 anni e all’arresto, può ottenere di scontare la pena nella propria abitazione o in un altro luogo di privata dimora, se si tratta: - di donna incinta o che allatti o che abbia una prole di età inferiore a 5 anni; - di persona in gravi condizioni di salute; - di persona di età superiore a 60 anni se inabile anche parzialmente; - di minore degli anni 21 per comprovate esigenze di salute, di studio, di lavoro e di famiglia. </w:t>
      </w:r>
      <w:r>
        <w:rPr>
          <w:rFonts w:ascii="Tahoma" w:hAnsi="Tahoma" w:cs="Tahoma"/>
          <w:sz w:val="20"/>
          <w:szCs w:val="20"/>
        </w:rPr>
        <w:br/>
      </w:r>
      <w:r>
        <w:rPr>
          <w:rFonts w:ascii="Tahoma" w:hAnsi="Tahoma" w:cs="Tahoma"/>
          <w:sz w:val="20"/>
          <w:szCs w:val="20"/>
        </w:rPr>
        <w:lastRenderedPageBreak/>
        <w:t xml:space="preserve">E’ prevista la revoca di tale misura sia quando il comportamento del soggetto ne rende impossibile la prosecuzione sia quando vengono a cessare le condizioni previste dalla norma (art. 47 </w:t>
      </w:r>
      <w:proofErr w:type="spellStart"/>
      <w:r>
        <w:rPr>
          <w:rStyle w:val="Enfasicorsivo"/>
          <w:rFonts w:ascii="Tahoma" w:hAnsi="Tahoma" w:cs="Tahoma"/>
          <w:sz w:val="20"/>
          <w:szCs w:val="20"/>
        </w:rPr>
        <w:t>ter</w:t>
      </w:r>
      <w:proofErr w:type="spellEnd"/>
      <w:r>
        <w:rPr>
          <w:rFonts w:ascii="Tahoma" w:hAnsi="Tahoma" w:cs="Tahoma"/>
          <w:sz w:val="20"/>
          <w:szCs w:val="20"/>
        </w:rPr>
        <w:t>).</w:t>
      </w:r>
      <w:r>
        <w:rPr>
          <w:rFonts w:ascii="Tahoma" w:hAnsi="Tahoma" w:cs="Tahoma"/>
          <w:sz w:val="20"/>
          <w:szCs w:val="20"/>
        </w:rPr>
        <w:br/>
        <w:t xml:space="preserve">Dopo la Sentenza della Corte </w:t>
      </w:r>
      <w:proofErr w:type="spellStart"/>
      <w:r>
        <w:rPr>
          <w:rFonts w:ascii="Tahoma" w:hAnsi="Tahoma" w:cs="Tahoma"/>
          <w:sz w:val="20"/>
          <w:szCs w:val="20"/>
        </w:rPr>
        <w:t>Cost.le</w:t>
      </w:r>
      <w:proofErr w:type="spellEnd"/>
      <w:r>
        <w:rPr>
          <w:rFonts w:ascii="Tahoma" w:hAnsi="Tahoma" w:cs="Tahoma"/>
          <w:sz w:val="20"/>
          <w:szCs w:val="20"/>
        </w:rPr>
        <w:t xml:space="preserve"> 350/1993, la detenzione domiciliare può essere concessa al padre condannato, in caso di morte della madre condannata, che conviva con un figlio portatore di handicap totalmente invalidante).</w:t>
      </w:r>
      <w:r>
        <w:rPr>
          <w:rFonts w:ascii="Tahoma" w:hAnsi="Tahoma" w:cs="Tahoma"/>
          <w:sz w:val="20"/>
          <w:szCs w:val="20"/>
        </w:rPr>
        <w:br/>
        <w:t xml:space="preserve">La L. 251/2005 (ex </w:t>
      </w:r>
      <w:proofErr w:type="spellStart"/>
      <w:r>
        <w:rPr>
          <w:rFonts w:ascii="Tahoma" w:hAnsi="Tahoma" w:cs="Tahoma"/>
          <w:sz w:val="20"/>
          <w:szCs w:val="20"/>
        </w:rPr>
        <w:t>Cirielli</w:t>
      </w:r>
      <w:proofErr w:type="spellEnd"/>
      <w:r>
        <w:rPr>
          <w:rFonts w:ascii="Tahoma" w:hAnsi="Tahoma" w:cs="Tahoma"/>
          <w:sz w:val="20"/>
          <w:szCs w:val="20"/>
        </w:rPr>
        <w:t xml:space="preserve">) ha apportato modifiche alla misura alternativa della detenzione domiciliare prevedendone l’applicazione per l’espiazione della pena detentiva inflitta in misura non superiore a due anni, anche se costituente parte residua di una pena maggiore e ciò quando non ricorrono i presupposti per la concessione dell’affidamento in prova al servizio sociale e sempre che tale misura sia idonea a evitare il pericolo che il reo commetta nuovamente altri reati. La modifica introdotta dalla Legge </w:t>
      </w:r>
      <w:proofErr w:type="spellStart"/>
      <w:r>
        <w:rPr>
          <w:rFonts w:ascii="Tahoma" w:hAnsi="Tahoma" w:cs="Tahoma"/>
          <w:sz w:val="20"/>
          <w:szCs w:val="20"/>
        </w:rPr>
        <w:t>Cirielli</w:t>
      </w:r>
      <w:proofErr w:type="spellEnd"/>
      <w:r>
        <w:rPr>
          <w:rFonts w:ascii="Tahoma" w:hAnsi="Tahoma" w:cs="Tahoma"/>
          <w:sz w:val="20"/>
          <w:szCs w:val="20"/>
        </w:rPr>
        <w:t xml:space="preserve"> non si applica ai condannati a cui sia stata applicata la recidiva reiterata e ai condannati di cui all’art. 4 </w:t>
      </w:r>
      <w:r>
        <w:rPr>
          <w:rStyle w:val="Enfasicorsivo"/>
          <w:rFonts w:ascii="Tahoma" w:hAnsi="Tahoma" w:cs="Tahoma"/>
          <w:sz w:val="20"/>
          <w:szCs w:val="20"/>
        </w:rPr>
        <w:t>bis</w:t>
      </w:r>
      <w:r>
        <w:rPr>
          <w:rFonts w:ascii="Tahoma" w:hAnsi="Tahoma" w:cs="Tahoma"/>
          <w:sz w:val="20"/>
          <w:szCs w:val="20"/>
        </w:rPr>
        <w:t xml:space="preserve"> dell’Ordinamento Penitenziario (Divieto di concessione dei benefici e accertamento della pericolosità sociale dei condannati per taluni delitti).</w:t>
      </w:r>
      <w:r>
        <w:rPr>
          <w:rFonts w:ascii="Tahoma" w:hAnsi="Tahoma" w:cs="Tahoma"/>
          <w:sz w:val="20"/>
          <w:szCs w:val="20"/>
        </w:rPr>
        <w:br/>
        <w:t>La detenzione domiciliare sostituisce la pena detentiva per quanti abbiano compiuto i settanti anni e non siano stati giudicati delinquenti abituali, di professione o per tendenza e che non siano stati mai condannati con l’aggravante di cui all’art. 99 c.p. (recidiva).</w:t>
      </w:r>
      <w:r>
        <w:rPr>
          <w:rFonts w:ascii="Tahoma" w:hAnsi="Tahoma" w:cs="Tahoma"/>
          <w:sz w:val="20"/>
          <w:szCs w:val="20"/>
        </w:rPr>
        <w:br/>
        <w:t xml:space="preserve">La L. 4/2001 (di versione del </w:t>
      </w:r>
      <w:proofErr w:type="spellStart"/>
      <w:r>
        <w:rPr>
          <w:rFonts w:ascii="Tahoma" w:hAnsi="Tahoma" w:cs="Tahoma"/>
          <w:sz w:val="20"/>
          <w:szCs w:val="20"/>
        </w:rPr>
        <w:t>DL</w:t>
      </w:r>
      <w:proofErr w:type="spellEnd"/>
      <w:r>
        <w:rPr>
          <w:rFonts w:ascii="Tahoma" w:hAnsi="Tahoma" w:cs="Tahoma"/>
          <w:sz w:val="20"/>
          <w:szCs w:val="20"/>
        </w:rPr>
        <w:t xml:space="preserve"> 341/2000) ha stabilito che il Tribunale di Sorveglianza, nel prevedere l’applicazione di tali pene, ai fini della verifica dell’osservanza delle prescrizione imposte, può consentire l’utilizzo di strumenti tecnici rinviando alla disciplina prevista dall’art. 275 </w:t>
      </w:r>
      <w:r>
        <w:rPr>
          <w:rStyle w:val="Enfasicorsivo"/>
          <w:rFonts w:ascii="Tahoma" w:hAnsi="Tahoma" w:cs="Tahoma"/>
          <w:sz w:val="20"/>
          <w:szCs w:val="20"/>
        </w:rPr>
        <w:t xml:space="preserve">bis </w:t>
      </w:r>
      <w:proofErr w:type="spellStart"/>
      <w:r>
        <w:rPr>
          <w:rFonts w:ascii="Tahoma" w:hAnsi="Tahoma" w:cs="Tahoma"/>
          <w:sz w:val="20"/>
          <w:szCs w:val="20"/>
        </w:rPr>
        <w:t>c.p.p.</w:t>
      </w:r>
      <w:proofErr w:type="spellEnd"/>
      <w:r>
        <w:rPr>
          <w:rFonts w:ascii="Tahoma" w:hAnsi="Tahoma" w:cs="Tahoma"/>
          <w:sz w:val="20"/>
          <w:szCs w:val="20"/>
        </w:rPr>
        <w:t xml:space="preserve"> relativa alla misura cautelare degli arresti domiciliari.</w:t>
      </w:r>
    </w:p>
    <w:p w:rsidR="00F461AC" w:rsidRDefault="00F461AC">
      <w:pPr>
        <w:rPr>
          <w:rFonts w:ascii="Tahoma" w:hAnsi="Tahoma" w:cs="Tahoma"/>
          <w:sz w:val="20"/>
          <w:szCs w:val="20"/>
        </w:rPr>
      </w:pPr>
    </w:p>
    <w:p w:rsidR="00F461AC" w:rsidRPr="00F461AC" w:rsidRDefault="00F461AC" w:rsidP="00F461AC">
      <w:pPr>
        <w:rPr>
          <w:rFonts w:ascii="Tahoma" w:hAnsi="Tahoma" w:cs="Tahoma"/>
          <w:sz w:val="20"/>
          <w:szCs w:val="20"/>
        </w:rPr>
      </w:pPr>
      <w:r w:rsidRPr="00F461AC">
        <w:rPr>
          <w:rFonts w:ascii="Tahoma" w:hAnsi="Tahoma" w:cs="Tahoma"/>
          <w:sz w:val="20"/>
          <w:szCs w:val="20"/>
          <w:highlight w:val="yellow"/>
        </w:rPr>
        <w:t>L. 354/1975 - Art. 47-ter (Detenzione domiciliare)</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01. La pena della reclusione per qualunque reato, ad  eccezione  di</w:t>
      </w:r>
      <w:r>
        <w:rPr>
          <w:rFonts w:ascii="Tahoma" w:hAnsi="Tahoma" w:cs="Tahoma"/>
          <w:sz w:val="20"/>
          <w:szCs w:val="20"/>
        </w:rPr>
        <w:t xml:space="preserve"> </w:t>
      </w:r>
      <w:r w:rsidRPr="00F461AC">
        <w:rPr>
          <w:rFonts w:ascii="Tahoma" w:hAnsi="Tahoma" w:cs="Tahoma"/>
          <w:sz w:val="20"/>
          <w:szCs w:val="20"/>
        </w:rPr>
        <w:t>quelli previsti dal libro II, titolo XII,  capo  III,  sezione  I,  e</w:t>
      </w:r>
      <w:r>
        <w:rPr>
          <w:rFonts w:ascii="Tahoma" w:hAnsi="Tahoma" w:cs="Tahoma"/>
          <w:sz w:val="20"/>
          <w:szCs w:val="20"/>
        </w:rPr>
        <w:t xml:space="preserve"> </w:t>
      </w:r>
      <w:r w:rsidRPr="00F461AC">
        <w:rPr>
          <w:rFonts w:ascii="Tahoma" w:hAnsi="Tahoma" w:cs="Tahoma"/>
          <w:sz w:val="20"/>
          <w:szCs w:val="20"/>
        </w:rPr>
        <w:t>dagli articoli 609-bis, 609-quater e 609-octies  del  codice  penale,</w:t>
      </w:r>
      <w:r>
        <w:rPr>
          <w:rFonts w:ascii="Tahoma" w:hAnsi="Tahoma" w:cs="Tahoma"/>
          <w:sz w:val="20"/>
          <w:szCs w:val="20"/>
        </w:rPr>
        <w:t xml:space="preserve"> </w:t>
      </w:r>
      <w:r w:rsidRPr="00F461AC">
        <w:rPr>
          <w:rFonts w:ascii="Tahoma" w:hAnsi="Tahoma" w:cs="Tahoma"/>
          <w:sz w:val="20"/>
          <w:szCs w:val="20"/>
        </w:rPr>
        <w:t>dall'articolo 51, comma 3-bis,  del  codice  di  procedura  penale  e</w:t>
      </w:r>
      <w:r>
        <w:rPr>
          <w:rFonts w:ascii="Tahoma" w:hAnsi="Tahoma" w:cs="Tahoma"/>
          <w:sz w:val="20"/>
          <w:szCs w:val="20"/>
        </w:rPr>
        <w:t xml:space="preserve"> </w:t>
      </w:r>
      <w:r w:rsidRPr="00F461AC">
        <w:rPr>
          <w:rFonts w:ascii="Tahoma" w:hAnsi="Tahoma" w:cs="Tahoma"/>
          <w:sz w:val="20"/>
          <w:szCs w:val="20"/>
        </w:rPr>
        <w:t xml:space="preserve">dall'articolo 4-bis della presente legge, </w:t>
      </w:r>
      <w:proofErr w:type="spellStart"/>
      <w:r w:rsidRPr="00F461AC">
        <w:rPr>
          <w:rFonts w:ascii="Tahoma" w:hAnsi="Tahoma" w:cs="Tahoma"/>
          <w:sz w:val="20"/>
          <w:szCs w:val="20"/>
        </w:rPr>
        <w:t>puo'</w:t>
      </w:r>
      <w:proofErr w:type="spellEnd"/>
      <w:r w:rsidRPr="00F461AC">
        <w:rPr>
          <w:rFonts w:ascii="Tahoma" w:hAnsi="Tahoma" w:cs="Tahoma"/>
          <w:sz w:val="20"/>
          <w:szCs w:val="20"/>
        </w:rPr>
        <w:t xml:space="preserve"> essere  espiata  nella</w:t>
      </w:r>
      <w:r>
        <w:rPr>
          <w:rFonts w:ascii="Tahoma" w:hAnsi="Tahoma" w:cs="Tahoma"/>
          <w:sz w:val="20"/>
          <w:szCs w:val="20"/>
        </w:rPr>
        <w:t xml:space="preserve"> </w:t>
      </w:r>
      <w:r w:rsidRPr="00F461AC">
        <w:rPr>
          <w:rFonts w:ascii="Tahoma" w:hAnsi="Tahoma" w:cs="Tahoma"/>
          <w:sz w:val="20"/>
          <w:szCs w:val="20"/>
        </w:rPr>
        <w:t>propria abitazione o in altro luogo pubblico di cura,  assistenza  ed</w:t>
      </w:r>
      <w:r>
        <w:rPr>
          <w:rFonts w:ascii="Tahoma" w:hAnsi="Tahoma" w:cs="Tahoma"/>
          <w:sz w:val="20"/>
          <w:szCs w:val="20"/>
        </w:rPr>
        <w:t xml:space="preserve"> </w:t>
      </w:r>
      <w:r w:rsidRPr="00F461AC">
        <w:rPr>
          <w:rFonts w:ascii="Tahoma" w:hAnsi="Tahoma" w:cs="Tahoma"/>
          <w:sz w:val="20"/>
          <w:szCs w:val="20"/>
        </w:rPr>
        <w:t>accoglienza, quando trattasi di persona che, al  momento  dell'inizio</w:t>
      </w:r>
      <w:r>
        <w:rPr>
          <w:rFonts w:ascii="Tahoma" w:hAnsi="Tahoma" w:cs="Tahoma"/>
          <w:sz w:val="20"/>
          <w:szCs w:val="20"/>
        </w:rPr>
        <w:t xml:space="preserve"> </w:t>
      </w:r>
      <w:r w:rsidRPr="00F461AC">
        <w:rPr>
          <w:rFonts w:ascii="Tahoma" w:hAnsi="Tahoma" w:cs="Tahoma"/>
          <w:sz w:val="20"/>
          <w:szCs w:val="20"/>
        </w:rPr>
        <w:t>dell'esecuzione della pena,  o  dopo  l'inizio  della  stessa,  abbia</w:t>
      </w:r>
      <w:r>
        <w:rPr>
          <w:rFonts w:ascii="Tahoma" w:hAnsi="Tahoma" w:cs="Tahoma"/>
          <w:sz w:val="20"/>
          <w:szCs w:val="20"/>
        </w:rPr>
        <w:t xml:space="preserve"> </w:t>
      </w:r>
      <w:r w:rsidRPr="00F461AC">
        <w:rPr>
          <w:rFonts w:ascii="Tahoma" w:hAnsi="Tahoma" w:cs="Tahoma"/>
          <w:sz w:val="20"/>
          <w:szCs w:val="20"/>
        </w:rPr>
        <w:t xml:space="preserve">compiuto i settanta anni di </w:t>
      </w:r>
      <w:proofErr w:type="spellStart"/>
      <w:r w:rsidRPr="00F461AC">
        <w:rPr>
          <w:rFonts w:ascii="Tahoma" w:hAnsi="Tahoma" w:cs="Tahoma"/>
          <w:sz w:val="20"/>
          <w:szCs w:val="20"/>
        </w:rPr>
        <w:t>eta'</w:t>
      </w:r>
      <w:proofErr w:type="spellEnd"/>
      <w:r w:rsidRPr="00F461AC">
        <w:rPr>
          <w:rFonts w:ascii="Tahoma" w:hAnsi="Tahoma" w:cs="Tahoma"/>
          <w:sz w:val="20"/>
          <w:szCs w:val="20"/>
        </w:rPr>
        <w:t xml:space="preserve"> </w:t>
      </w:r>
      <w:proofErr w:type="spellStart"/>
      <w:r w:rsidRPr="00F461AC">
        <w:rPr>
          <w:rFonts w:ascii="Tahoma" w:hAnsi="Tahoma" w:cs="Tahoma"/>
          <w:sz w:val="20"/>
          <w:szCs w:val="20"/>
        </w:rPr>
        <w:t>purche'</w:t>
      </w:r>
      <w:proofErr w:type="spellEnd"/>
      <w:r w:rsidRPr="00F461AC">
        <w:rPr>
          <w:rFonts w:ascii="Tahoma" w:hAnsi="Tahoma" w:cs="Tahoma"/>
          <w:sz w:val="20"/>
          <w:szCs w:val="20"/>
        </w:rPr>
        <w:t xml:space="preserve">  non  sia  stato  dichiarato</w:t>
      </w:r>
      <w:r>
        <w:rPr>
          <w:rFonts w:ascii="Tahoma" w:hAnsi="Tahoma" w:cs="Tahoma"/>
          <w:sz w:val="20"/>
          <w:szCs w:val="20"/>
        </w:rPr>
        <w:t xml:space="preserve"> </w:t>
      </w:r>
      <w:r w:rsidRPr="00F461AC">
        <w:rPr>
          <w:rFonts w:ascii="Tahoma" w:hAnsi="Tahoma" w:cs="Tahoma"/>
          <w:sz w:val="20"/>
          <w:szCs w:val="20"/>
        </w:rPr>
        <w:t>delinquente abituale, professionale o per tendenza ne' sia stato  mai</w:t>
      </w:r>
      <w:r>
        <w:rPr>
          <w:rFonts w:ascii="Tahoma" w:hAnsi="Tahoma" w:cs="Tahoma"/>
          <w:sz w:val="20"/>
          <w:szCs w:val="20"/>
        </w:rPr>
        <w:t xml:space="preserve"> </w:t>
      </w:r>
      <w:r w:rsidRPr="00F461AC">
        <w:rPr>
          <w:rFonts w:ascii="Tahoma" w:hAnsi="Tahoma" w:cs="Tahoma"/>
          <w:sz w:val="20"/>
          <w:szCs w:val="20"/>
        </w:rPr>
        <w:t xml:space="preserve">condannato con l'aggravante di cui all'articolo 99 del codice penale.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1. La pena della reclusione non superiore a quattro anni, anche  se</w:t>
      </w:r>
      <w:r>
        <w:rPr>
          <w:rFonts w:ascii="Tahoma" w:hAnsi="Tahoma" w:cs="Tahoma"/>
          <w:sz w:val="20"/>
          <w:szCs w:val="20"/>
        </w:rPr>
        <w:t xml:space="preserve"> </w:t>
      </w:r>
      <w:r w:rsidRPr="00F461AC">
        <w:rPr>
          <w:rFonts w:ascii="Tahoma" w:hAnsi="Tahoma" w:cs="Tahoma"/>
          <w:sz w:val="20"/>
          <w:szCs w:val="20"/>
        </w:rPr>
        <w:t xml:space="preserve">costituente  parte  residua  di  maggior  pena,   </w:t>
      </w:r>
      <w:proofErr w:type="spellStart"/>
      <w:r w:rsidRPr="00F461AC">
        <w:rPr>
          <w:rFonts w:ascii="Tahoma" w:hAnsi="Tahoma" w:cs="Tahoma"/>
          <w:sz w:val="20"/>
          <w:szCs w:val="20"/>
        </w:rPr>
        <w:t>nonche'</w:t>
      </w:r>
      <w:proofErr w:type="spellEnd"/>
      <w:r w:rsidRPr="00F461AC">
        <w:rPr>
          <w:rFonts w:ascii="Tahoma" w:hAnsi="Tahoma" w:cs="Tahoma"/>
          <w:sz w:val="20"/>
          <w:szCs w:val="20"/>
        </w:rPr>
        <w:t xml:space="preserve">   la   pena</w:t>
      </w:r>
      <w:r>
        <w:rPr>
          <w:rFonts w:ascii="Tahoma" w:hAnsi="Tahoma" w:cs="Tahoma"/>
          <w:sz w:val="20"/>
          <w:szCs w:val="20"/>
        </w:rPr>
        <w:t xml:space="preserve"> </w:t>
      </w:r>
      <w:r w:rsidRPr="00F461AC">
        <w:rPr>
          <w:rFonts w:ascii="Tahoma" w:hAnsi="Tahoma" w:cs="Tahoma"/>
          <w:sz w:val="20"/>
          <w:szCs w:val="20"/>
        </w:rPr>
        <w:t>dell'arresto, possono essere espiate nella propria  abitazione  o  in</w:t>
      </w:r>
      <w:r>
        <w:rPr>
          <w:rFonts w:ascii="Tahoma" w:hAnsi="Tahoma" w:cs="Tahoma"/>
          <w:sz w:val="20"/>
          <w:szCs w:val="20"/>
        </w:rPr>
        <w:t xml:space="preserve"> </w:t>
      </w:r>
      <w:r w:rsidRPr="00F461AC">
        <w:rPr>
          <w:rFonts w:ascii="Tahoma" w:hAnsi="Tahoma" w:cs="Tahoma"/>
          <w:sz w:val="20"/>
          <w:szCs w:val="20"/>
        </w:rPr>
        <w:t>altro luogo di privata dimora  ovvero  in  luogo  pubblico  di  cura,</w:t>
      </w:r>
      <w:r>
        <w:rPr>
          <w:rFonts w:ascii="Tahoma" w:hAnsi="Tahoma" w:cs="Tahoma"/>
          <w:sz w:val="20"/>
          <w:szCs w:val="20"/>
        </w:rPr>
        <w:t xml:space="preserve"> </w:t>
      </w:r>
      <w:r w:rsidRPr="00F461AC">
        <w:rPr>
          <w:rFonts w:ascii="Tahoma" w:hAnsi="Tahoma" w:cs="Tahoma"/>
          <w:sz w:val="20"/>
          <w:szCs w:val="20"/>
        </w:rPr>
        <w:t>assistenza o accoglienza ((ovvero, nell'ipotesi di cui  alla  lettera</w:t>
      </w:r>
      <w:r>
        <w:rPr>
          <w:rFonts w:ascii="Tahoma" w:hAnsi="Tahoma" w:cs="Tahoma"/>
          <w:sz w:val="20"/>
          <w:szCs w:val="20"/>
        </w:rPr>
        <w:t xml:space="preserve"> </w:t>
      </w:r>
      <w:r w:rsidRPr="00F461AC">
        <w:rPr>
          <w:rFonts w:ascii="Tahoma" w:hAnsi="Tahoma" w:cs="Tahoma"/>
          <w:sz w:val="20"/>
          <w:szCs w:val="20"/>
        </w:rPr>
        <w:t xml:space="preserve">a), in case famiglia protette)), quando trattasi di: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a) donna incinta o madre di prole di </w:t>
      </w:r>
      <w:proofErr w:type="spellStart"/>
      <w:r w:rsidRPr="00F461AC">
        <w:rPr>
          <w:rFonts w:ascii="Tahoma" w:hAnsi="Tahoma" w:cs="Tahoma"/>
          <w:sz w:val="20"/>
          <w:szCs w:val="20"/>
        </w:rPr>
        <w:t>eta'</w:t>
      </w:r>
      <w:proofErr w:type="spellEnd"/>
      <w:r w:rsidRPr="00F461AC">
        <w:rPr>
          <w:rFonts w:ascii="Tahoma" w:hAnsi="Tahoma" w:cs="Tahoma"/>
          <w:sz w:val="20"/>
          <w:szCs w:val="20"/>
        </w:rPr>
        <w:t xml:space="preserve"> inferiore ad anni dieci</w:t>
      </w:r>
      <w:r>
        <w:rPr>
          <w:rFonts w:ascii="Tahoma" w:hAnsi="Tahoma" w:cs="Tahoma"/>
          <w:sz w:val="20"/>
          <w:szCs w:val="20"/>
        </w:rPr>
        <w:t xml:space="preserve"> </w:t>
      </w:r>
      <w:r w:rsidRPr="00F461AC">
        <w:rPr>
          <w:rFonts w:ascii="Tahoma" w:hAnsi="Tahoma" w:cs="Tahoma"/>
          <w:sz w:val="20"/>
          <w:szCs w:val="20"/>
        </w:rPr>
        <w:t xml:space="preserve">con lei convivente; (65)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b) padre, esercente la </w:t>
      </w:r>
      <w:proofErr w:type="spellStart"/>
      <w:r w:rsidRPr="00F461AC">
        <w:rPr>
          <w:rFonts w:ascii="Tahoma" w:hAnsi="Tahoma" w:cs="Tahoma"/>
          <w:sz w:val="20"/>
          <w:szCs w:val="20"/>
        </w:rPr>
        <w:t>potesta'</w:t>
      </w:r>
      <w:proofErr w:type="spellEnd"/>
      <w:r w:rsidRPr="00F461AC">
        <w:rPr>
          <w:rFonts w:ascii="Tahoma" w:hAnsi="Tahoma" w:cs="Tahoma"/>
          <w:sz w:val="20"/>
          <w:szCs w:val="20"/>
        </w:rPr>
        <w:t xml:space="preserve">, di prole di  </w:t>
      </w:r>
      <w:proofErr w:type="spellStart"/>
      <w:r w:rsidRPr="00F461AC">
        <w:rPr>
          <w:rFonts w:ascii="Tahoma" w:hAnsi="Tahoma" w:cs="Tahoma"/>
          <w:sz w:val="20"/>
          <w:szCs w:val="20"/>
        </w:rPr>
        <w:t>eta'</w:t>
      </w:r>
      <w:proofErr w:type="spellEnd"/>
      <w:r w:rsidRPr="00F461AC">
        <w:rPr>
          <w:rFonts w:ascii="Tahoma" w:hAnsi="Tahoma" w:cs="Tahoma"/>
          <w:sz w:val="20"/>
          <w:szCs w:val="20"/>
        </w:rPr>
        <w:t xml:space="preserve">  inferiore  ad</w:t>
      </w:r>
      <w:r>
        <w:rPr>
          <w:rFonts w:ascii="Tahoma" w:hAnsi="Tahoma" w:cs="Tahoma"/>
          <w:sz w:val="20"/>
          <w:szCs w:val="20"/>
        </w:rPr>
        <w:t xml:space="preserve"> </w:t>
      </w:r>
      <w:r w:rsidRPr="00F461AC">
        <w:rPr>
          <w:rFonts w:ascii="Tahoma" w:hAnsi="Tahoma" w:cs="Tahoma"/>
          <w:sz w:val="20"/>
          <w:szCs w:val="20"/>
        </w:rPr>
        <w:t>anni dieci con  lui  convivente,  quando  la  madre  sia  deceduta  o</w:t>
      </w:r>
      <w:r>
        <w:rPr>
          <w:rFonts w:ascii="Tahoma" w:hAnsi="Tahoma" w:cs="Tahoma"/>
          <w:sz w:val="20"/>
          <w:szCs w:val="20"/>
        </w:rPr>
        <w:t xml:space="preserve"> </w:t>
      </w:r>
      <w:r w:rsidRPr="00F461AC">
        <w:rPr>
          <w:rFonts w:ascii="Tahoma" w:hAnsi="Tahoma" w:cs="Tahoma"/>
          <w:sz w:val="20"/>
          <w:szCs w:val="20"/>
        </w:rPr>
        <w:t>altrimenti  assolutamente  impossibilitata  a  dare  assistenza  alla</w:t>
      </w:r>
      <w:r>
        <w:rPr>
          <w:rFonts w:ascii="Tahoma" w:hAnsi="Tahoma" w:cs="Tahoma"/>
          <w:sz w:val="20"/>
          <w:szCs w:val="20"/>
        </w:rPr>
        <w:t xml:space="preserve"> </w:t>
      </w:r>
      <w:r w:rsidRPr="00F461AC">
        <w:rPr>
          <w:rFonts w:ascii="Tahoma" w:hAnsi="Tahoma" w:cs="Tahoma"/>
          <w:sz w:val="20"/>
          <w:szCs w:val="20"/>
        </w:rPr>
        <w:t xml:space="preserve">prole;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c) persona in condizioni di  salute  particolarmente  gravi,  che</w:t>
      </w:r>
      <w:r>
        <w:rPr>
          <w:rFonts w:ascii="Tahoma" w:hAnsi="Tahoma" w:cs="Tahoma"/>
          <w:sz w:val="20"/>
          <w:szCs w:val="20"/>
        </w:rPr>
        <w:t xml:space="preserve"> </w:t>
      </w:r>
      <w:r w:rsidRPr="00F461AC">
        <w:rPr>
          <w:rFonts w:ascii="Tahoma" w:hAnsi="Tahoma" w:cs="Tahoma"/>
          <w:sz w:val="20"/>
          <w:szCs w:val="20"/>
        </w:rPr>
        <w:t xml:space="preserve">richiedano costanti contatti con i presidi sanitari territoriali;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d) persona di </w:t>
      </w:r>
      <w:proofErr w:type="spellStart"/>
      <w:r w:rsidRPr="00F461AC">
        <w:rPr>
          <w:rFonts w:ascii="Tahoma" w:hAnsi="Tahoma" w:cs="Tahoma"/>
          <w:sz w:val="20"/>
          <w:szCs w:val="20"/>
        </w:rPr>
        <w:t>eta'</w:t>
      </w:r>
      <w:proofErr w:type="spellEnd"/>
      <w:r w:rsidRPr="00F461AC">
        <w:rPr>
          <w:rFonts w:ascii="Tahoma" w:hAnsi="Tahoma" w:cs="Tahoma"/>
          <w:sz w:val="20"/>
          <w:szCs w:val="20"/>
        </w:rPr>
        <w:t xml:space="preserve"> superiore a sessanta anni,  se  inabile  anche</w:t>
      </w:r>
      <w:r>
        <w:rPr>
          <w:rFonts w:ascii="Tahoma" w:hAnsi="Tahoma" w:cs="Tahoma"/>
          <w:sz w:val="20"/>
          <w:szCs w:val="20"/>
        </w:rPr>
        <w:t xml:space="preserve"> </w:t>
      </w:r>
      <w:r w:rsidRPr="00F461AC">
        <w:rPr>
          <w:rFonts w:ascii="Tahoma" w:hAnsi="Tahoma" w:cs="Tahoma"/>
          <w:sz w:val="20"/>
          <w:szCs w:val="20"/>
        </w:rPr>
        <w:t xml:space="preserve">parzialmente;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e) persona minore di anni  ventuno  per  comprovate  esigenze  di</w:t>
      </w:r>
      <w:r>
        <w:rPr>
          <w:rFonts w:ascii="Tahoma" w:hAnsi="Tahoma" w:cs="Tahoma"/>
          <w:sz w:val="20"/>
          <w:szCs w:val="20"/>
        </w:rPr>
        <w:t xml:space="preserve"> </w:t>
      </w:r>
      <w:r w:rsidRPr="00F461AC">
        <w:rPr>
          <w:rFonts w:ascii="Tahoma" w:hAnsi="Tahoma" w:cs="Tahoma"/>
          <w:sz w:val="20"/>
          <w:szCs w:val="20"/>
        </w:rPr>
        <w:t xml:space="preserve">salute, di studio, di lavoro e di famiglia.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1. 1. Al condannato, al  quale  sia  stata  applicata  la  recidiva</w:t>
      </w:r>
      <w:r>
        <w:rPr>
          <w:rFonts w:ascii="Tahoma" w:hAnsi="Tahoma" w:cs="Tahoma"/>
          <w:sz w:val="20"/>
          <w:szCs w:val="20"/>
        </w:rPr>
        <w:t xml:space="preserve"> </w:t>
      </w:r>
      <w:r w:rsidRPr="00F461AC">
        <w:rPr>
          <w:rFonts w:ascii="Tahoma" w:hAnsi="Tahoma" w:cs="Tahoma"/>
          <w:sz w:val="20"/>
          <w:szCs w:val="20"/>
        </w:rPr>
        <w:t xml:space="preserve">prevista dall'articolo 99, quarto  comma,  del  codice  penale,  </w:t>
      </w:r>
      <w:proofErr w:type="spellStart"/>
      <w:r w:rsidRPr="00F461AC">
        <w:rPr>
          <w:rFonts w:ascii="Tahoma" w:hAnsi="Tahoma" w:cs="Tahoma"/>
          <w:sz w:val="20"/>
          <w:szCs w:val="20"/>
        </w:rPr>
        <w:t>puo'</w:t>
      </w:r>
      <w:proofErr w:type="spellEnd"/>
      <w:r>
        <w:rPr>
          <w:rFonts w:ascii="Tahoma" w:hAnsi="Tahoma" w:cs="Tahoma"/>
          <w:sz w:val="20"/>
          <w:szCs w:val="20"/>
        </w:rPr>
        <w:t xml:space="preserve"> </w:t>
      </w:r>
      <w:r w:rsidRPr="00F461AC">
        <w:rPr>
          <w:rFonts w:ascii="Tahoma" w:hAnsi="Tahoma" w:cs="Tahoma"/>
          <w:sz w:val="20"/>
          <w:szCs w:val="20"/>
        </w:rPr>
        <w:t>essere concessa  la  detenzione  domiciliare  se  la  pena  detentiva</w:t>
      </w:r>
      <w:r>
        <w:rPr>
          <w:rFonts w:ascii="Tahoma" w:hAnsi="Tahoma" w:cs="Tahoma"/>
          <w:sz w:val="20"/>
          <w:szCs w:val="20"/>
        </w:rPr>
        <w:t xml:space="preserve"> </w:t>
      </w:r>
      <w:r w:rsidRPr="00F461AC">
        <w:rPr>
          <w:rFonts w:ascii="Tahoma" w:hAnsi="Tahoma" w:cs="Tahoma"/>
          <w:sz w:val="20"/>
          <w:szCs w:val="20"/>
        </w:rPr>
        <w:t>inflitta, anche se costituente parte residua  di  maggior  pena,  non</w:t>
      </w:r>
      <w:r>
        <w:rPr>
          <w:rFonts w:ascii="Tahoma" w:hAnsi="Tahoma" w:cs="Tahoma"/>
          <w:sz w:val="20"/>
          <w:szCs w:val="20"/>
        </w:rPr>
        <w:t xml:space="preserve"> </w:t>
      </w:r>
      <w:r w:rsidRPr="00F461AC">
        <w:rPr>
          <w:rFonts w:ascii="Tahoma" w:hAnsi="Tahoma" w:cs="Tahoma"/>
          <w:sz w:val="20"/>
          <w:szCs w:val="20"/>
        </w:rPr>
        <w:t xml:space="preserve">supera tre anni. </w:t>
      </w:r>
    </w:p>
    <w:p w:rsidR="00F461AC" w:rsidRPr="00F461AC" w:rsidRDefault="00F461AC" w:rsidP="00F461AC">
      <w:pPr>
        <w:rPr>
          <w:rFonts w:ascii="Tahoma" w:hAnsi="Tahoma" w:cs="Tahoma"/>
          <w:sz w:val="20"/>
          <w:szCs w:val="20"/>
        </w:rPr>
      </w:pPr>
      <w:r w:rsidRPr="00F461AC">
        <w:rPr>
          <w:rFonts w:ascii="Tahoma" w:hAnsi="Tahoma" w:cs="Tahoma"/>
          <w:sz w:val="20"/>
          <w:szCs w:val="20"/>
        </w:rPr>
        <w:t xml:space="preserve">  1-bis.  La  detenzione  domiciliare  </w:t>
      </w:r>
      <w:proofErr w:type="spellStart"/>
      <w:r w:rsidRPr="00F461AC">
        <w:rPr>
          <w:rFonts w:ascii="Tahoma" w:hAnsi="Tahoma" w:cs="Tahoma"/>
          <w:sz w:val="20"/>
          <w:szCs w:val="20"/>
        </w:rPr>
        <w:t>puo'</w:t>
      </w:r>
      <w:proofErr w:type="spellEnd"/>
      <w:r w:rsidRPr="00F461AC">
        <w:rPr>
          <w:rFonts w:ascii="Tahoma" w:hAnsi="Tahoma" w:cs="Tahoma"/>
          <w:sz w:val="20"/>
          <w:szCs w:val="20"/>
        </w:rPr>
        <w:t xml:space="preserve">  essere   applicata   per</w:t>
      </w:r>
      <w:r>
        <w:rPr>
          <w:rFonts w:ascii="Tahoma" w:hAnsi="Tahoma" w:cs="Tahoma"/>
          <w:sz w:val="20"/>
          <w:szCs w:val="20"/>
        </w:rPr>
        <w:t xml:space="preserve"> </w:t>
      </w:r>
      <w:r w:rsidRPr="00F461AC">
        <w:rPr>
          <w:rFonts w:ascii="Tahoma" w:hAnsi="Tahoma" w:cs="Tahoma"/>
          <w:sz w:val="20"/>
          <w:szCs w:val="20"/>
        </w:rPr>
        <w:t>l'espiazione della pena detentiva inflitta in misura non superiore  a</w:t>
      </w:r>
      <w:r>
        <w:rPr>
          <w:rFonts w:ascii="Tahoma" w:hAnsi="Tahoma" w:cs="Tahoma"/>
          <w:sz w:val="20"/>
          <w:szCs w:val="20"/>
        </w:rPr>
        <w:t xml:space="preserve"> </w:t>
      </w:r>
      <w:r w:rsidRPr="00F461AC">
        <w:rPr>
          <w:rFonts w:ascii="Tahoma" w:hAnsi="Tahoma" w:cs="Tahoma"/>
          <w:sz w:val="20"/>
          <w:szCs w:val="20"/>
        </w:rPr>
        <w:t>due anni,  anche  se  costituente  parte  residua  di  maggior  pena,</w:t>
      </w:r>
      <w:r>
        <w:rPr>
          <w:rFonts w:ascii="Tahoma" w:hAnsi="Tahoma" w:cs="Tahoma"/>
          <w:sz w:val="20"/>
          <w:szCs w:val="20"/>
        </w:rPr>
        <w:t xml:space="preserve"> </w:t>
      </w:r>
      <w:r w:rsidRPr="00F461AC">
        <w:rPr>
          <w:rFonts w:ascii="Tahoma" w:hAnsi="Tahoma" w:cs="Tahoma"/>
          <w:sz w:val="20"/>
          <w:szCs w:val="20"/>
        </w:rPr>
        <w:t>indipendentemente dalle condizioni di  cui  al  comma  1  quando  non</w:t>
      </w:r>
      <w:r>
        <w:rPr>
          <w:rFonts w:ascii="Tahoma" w:hAnsi="Tahoma" w:cs="Tahoma"/>
          <w:sz w:val="20"/>
          <w:szCs w:val="20"/>
        </w:rPr>
        <w:t xml:space="preserve"> </w:t>
      </w:r>
      <w:r w:rsidRPr="00F461AC">
        <w:rPr>
          <w:rFonts w:ascii="Tahoma" w:hAnsi="Tahoma" w:cs="Tahoma"/>
          <w:sz w:val="20"/>
          <w:szCs w:val="20"/>
        </w:rPr>
        <w:t>ricorrono i  presupposti  per  l'affidamento  in  prova  al  servizio</w:t>
      </w:r>
      <w:r>
        <w:rPr>
          <w:rFonts w:ascii="Tahoma" w:hAnsi="Tahoma" w:cs="Tahoma"/>
          <w:sz w:val="20"/>
          <w:szCs w:val="20"/>
        </w:rPr>
        <w:t xml:space="preserve"> </w:t>
      </w:r>
      <w:r w:rsidRPr="00F461AC">
        <w:rPr>
          <w:rFonts w:ascii="Tahoma" w:hAnsi="Tahoma" w:cs="Tahoma"/>
          <w:sz w:val="20"/>
          <w:szCs w:val="20"/>
        </w:rPr>
        <w:t>sociale e sempre che tale misura sia idonea ad  evitare  il  pericolo</w:t>
      </w:r>
      <w:r>
        <w:rPr>
          <w:rFonts w:ascii="Tahoma" w:hAnsi="Tahoma" w:cs="Tahoma"/>
          <w:sz w:val="20"/>
          <w:szCs w:val="20"/>
        </w:rPr>
        <w:t xml:space="preserve"> </w:t>
      </w:r>
      <w:r w:rsidRPr="00F461AC">
        <w:rPr>
          <w:rFonts w:ascii="Tahoma" w:hAnsi="Tahoma" w:cs="Tahoma"/>
          <w:sz w:val="20"/>
          <w:szCs w:val="20"/>
        </w:rPr>
        <w:t>che il condannato commetta altri reati. La presente disposizione  non</w:t>
      </w:r>
      <w:r>
        <w:rPr>
          <w:rFonts w:ascii="Tahoma" w:hAnsi="Tahoma" w:cs="Tahoma"/>
          <w:sz w:val="20"/>
          <w:szCs w:val="20"/>
        </w:rPr>
        <w:t xml:space="preserve"> </w:t>
      </w:r>
      <w:r w:rsidRPr="00F461AC">
        <w:rPr>
          <w:rFonts w:ascii="Tahoma" w:hAnsi="Tahoma" w:cs="Tahoma"/>
          <w:sz w:val="20"/>
          <w:szCs w:val="20"/>
        </w:rPr>
        <w:t>si applica ai condannati per i reati di cui all'articolo  4-bis  e  a</w:t>
      </w:r>
      <w:r>
        <w:rPr>
          <w:rFonts w:ascii="Tahoma" w:hAnsi="Tahoma" w:cs="Tahoma"/>
          <w:sz w:val="20"/>
          <w:szCs w:val="20"/>
        </w:rPr>
        <w:t xml:space="preserve"> </w:t>
      </w:r>
      <w:r w:rsidRPr="00F461AC">
        <w:rPr>
          <w:rFonts w:ascii="Tahoma" w:hAnsi="Tahoma" w:cs="Tahoma"/>
          <w:sz w:val="20"/>
          <w:szCs w:val="20"/>
        </w:rPr>
        <w:t>quelli cui sia stata applicata la recidiva prevista dall'articolo 99,</w:t>
      </w:r>
      <w:r>
        <w:rPr>
          <w:rFonts w:ascii="Tahoma" w:hAnsi="Tahoma" w:cs="Tahoma"/>
          <w:sz w:val="20"/>
          <w:szCs w:val="20"/>
        </w:rPr>
        <w:t xml:space="preserve"> </w:t>
      </w:r>
      <w:r w:rsidRPr="00F461AC">
        <w:rPr>
          <w:rFonts w:ascii="Tahoma" w:hAnsi="Tahoma" w:cs="Tahoma"/>
          <w:sz w:val="20"/>
          <w:szCs w:val="20"/>
        </w:rPr>
        <w:t>quarto comma, del codice penale.</w:t>
      </w:r>
    </w:p>
    <w:sectPr w:rsidR="00F461AC" w:rsidRPr="00F461AC" w:rsidSect="00E773D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F461AC"/>
    <w:rsid w:val="00CF4D6D"/>
    <w:rsid w:val="00E773DF"/>
    <w:rsid w:val="00F461A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HAnsi"/>
        <w:color w:val="000000"/>
        <w:sz w:val="24"/>
        <w:szCs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73DF"/>
  </w:style>
  <w:style w:type="paragraph" w:styleId="Titolo1">
    <w:name w:val="heading 1"/>
    <w:basedOn w:val="Normale"/>
    <w:link w:val="Titolo1Carattere"/>
    <w:uiPriority w:val="9"/>
    <w:qFormat/>
    <w:rsid w:val="00F461AC"/>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61AC"/>
    <w:rPr>
      <w:rFonts w:ascii="Times New Roman" w:eastAsia="Times New Roman" w:hAnsi="Times New Roman" w:cs="Times New Roman"/>
      <w:b/>
      <w:bCs/>
      <w:color w:val="auto"/>
      <w:kern w:val="36"/>
      <w:sz w:val="48"/>
      <w:szCs w:val="48"/>
      <w:lang w:eastAsia="it-IT"/>
    </w:rPr>
  </w:style>
  <w:style w:type="character" w:styleId="Enfasigrassetto">
    <w:name w:val="Strong"/>
    <w:basedOn w:val="Carpredefinitoparagrafo"/>
    <w:uiPriority w:val="22"/>
    <w:qFormat/>
    <w:rsid w:val="00F461AC"/>
    <w:rPr>
      <w:b/>
      <w:bCs/>
    </w:rPr>
  </w:style>
  <w:style w:type="character" w:styleId="Enfasicorsivo">
    <w:name w:val="Emphasis"/>
    <w:basedOn w:val="Carpredefinitoparagrafo"/>
    <w:uiPriority w:val="20"/>
    <w:qFormat/>
    <w:rsid w:val="00F461AC"/>
    <w:rPr>
      <w:i/>
      <w:iCs/>
    </w:rPr>
  </w:style>
</w:styles>
</file>

<file path=word/webSettings.xml><?xml version="1.0" encoding="utf-8"?>
<w:webSettings xmlns:r="http://schemas.openxmlformats.org/officeDocument/2006/relationships" xmlns:w="http://schemas.openxmlformats.org/wordprocessingml/2006/main">
  <w:divs>
    <w:div w:id="109017447">
      <w:bodyDiv w:val="1"/>
      <w:marLeft w:val="0"/>
      <w:marRight w:val="0"/>
      <w:marTop w:val="30"/>
      <w:marBottom w:val="0"/>
      <w:divBdr>
        <w:top w:val="none" w:sz="0" w:space="0" w:color="auto"/>
        <w:left w:val="none" w:sz="0" w:space="0" w:color="auto"/>
        <w:bottom w:val="none" w:sz="0" w:space="0" w:color="auto"/>
        <w:right w:val="none" w:sz="0" w:space="0" w:color="auto"/>
      </w:divBdr>
      <w:divsChild>
        <w:div w:id="528445371">
          <w:marLeft w:val="0"/>
          <w:marRight w:val="0"/>
          <w:marTop w:val="0"/>
          <w:marBottom w:val="0"/>
          <w:divBdr>
            <w:top w:val="single" w:sz="6" w:space="2" w:color="BACBDB"/>
            <w:left w:val="single" w:sz="6" w:space="0" w:color="BACBDB"/>
            <w:bottom w:val="single" w:sz="6" w:space="2" w:color="BACBDB"/>
            <w:right w:val="single" w:sz="6" w:space="0" w:color="BACBDB"/>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1293</Words>
  <Characters>7375</Characters>
  <Application>Microsoft Office Word</Application>
  <DocSecurity>0</DocSecurity>
  <Lines>61</Lines>
  <Paragraphs>17</Paragraphs>
  <ScaleCrop>false</ScaleCrop>
  <Company>OIPA</Company>
  <LinksUpToDate>false</LinksUpToDate>
  <CharactersWithSpaces>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cp:revision>
  <dcterms:created xsi:type="dcterms:W3CDTF">2011-08-23T09:36:00Z</dcterms:created>
  <dcterms:modified xsi:type="dcterms:W3CDTF">2011-08-23T09:44:00Z</dcterms:modified>
</cp:coreProperties>
</file>